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F64089" w14:textId="7C362960" w:rsidR="00C53BFA" w:rsidRPr="00CF2E0B" w:rsidRDefault="00C53BFA" w:rsidP="00C53BFA">
      <w:pPr>
        <w:pStyle w:val="Pre-title"/>
      </w:pPr>
    </w:p>
    <w:p w14:paraId="1216B23F" w14:textId="56118C87" w:rsidR="00C53BFA" w:rsidRPr="009966AB" w:rsidRDefault="00C53BFA" w:rsidP="003F021C">
      <w:pPr>
        <w:pStyle w:val="H1"/>
        <w:ind w:right="2070"/>
      </w:pPr>
      <w:bookmarkStart w:id="0" w:name="_mjrr2kp9be2e" w:colFirst="0" w:colLast="0"/>
      <w:bookmarkEnd w:id="0"/>
      <w:r w:rsidRPr="009966AB">
        <w:rPr>
          <w:noProof/>
        </w:rPr>
        <w:drawing>
          <wp:anchor distT="0" distB="0" distL="0" distR="0" simplePos="0" relativeHeight="251659264" behindDoc="0" locked="0" layoutInCell="1" hidden="0" allowOverlap="1" wp14:anchorId="0C0138B3" wp14:editId="25E8E71F">
            <wp:simplePos x="0" y="0"/>
            <wp:positionH relativeFrom="column">
              <wp:posOffset>-962024</wp:posOffset>
            </wp:positionH>
            <wp:positionV relativeFrom="paragraph">
              <wp:posOffset>53975</wp:posOffset>
            </wp:positionV>
            <wp:extent cx="747713" cy="245752"/>
            <wp:effectExtent l="0" t="0" r="0" b="0"/>
            <wp:wrapSquare wrapText="bothSides" distT="0" distB="0" distL="0" distR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7713" cy="2457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F79A1">
        <w:rPr>
          <w:noProof/>
        </w:rPr>
        <w:t>Real results – real savings</w:t>
      </w:r>
    </w:p>
    <w:p w14:paraId="6E260ECD" w14:textId="204BDD1D" w:rsidR="00894ECA" w:rsidRDefault="00425DA2" w:rsidP="00425DA2">
      <w:pPr>
        <w:pStyle w:val="H2"/>
        <w:ind w:right="270"/>
        <w:rPr>
          <w:rFonts w:cstheme="minorHAnsi"/>
          <w:b w:val="0"/>
          <w:bCs/>
          <w:sz w:val="20"/>
          <w:szCs w:val="20"/>
        </w:rPr>
      </w:pPr>
      <w:r w:rsidRPr="00425DA2">
        <w:rPr>
          <w:rFonts w:cstheme="minorHAnsi"/>
          <w:b w:val="0"/>
          <w:bCs/>
          <w:sz w:val="20"/>
          <w:szCs w:val="20"/>
        </w:rPr>
        <w:t xml:space="preserve">The </w:t>
      </w:r>
      <w:r w:rsidR="007612B4">
        <w:rPr>
          <w:rFonts w:cstheme="minorHAnsi"/>
          <w:b w:val="0"/>
          <w:bCs/>
          <w:sz w:val="20"/>
          <w:szCs w:val="20"/>
        </w:rPr>
        <w:t>Tallmadge</w:t>
      </w:r>
      <w:r w:rsidR="00007B49">
        <w:rPr>
          <w:rFonts w:cstheme="minorHAnsi"/>
          <w:b w:val="0"/>
          <w:bCs/>
          <w:sz w:val="20"/>
          <w:szCs w:val="20"/>
        </w:rPr>
        <w:t xml:space="preserve"> Chamber of Commerce</w:t>
      </w:r>
      <w:r w:rsidR="00964239">
        <w:rPr>
          <w:rFonts w:cstheme="minorHAnsi"/>
          <w:b w:val="0"/>
          <w:bCs/>
          <w:sz w:val="20"/>
          <w:szCs w:val="20"/>
        </w:rPr>
        <w:t xml:space="preserve"> </w:t>
      </w:r>
      <w:r w:rsidRPr="00425DA2">
        <w:rPr>
          <w:rFonts w:cstheme="minorHAnsi"/>
          <w:b w:val="0"/>
          <w:bCs/>
          <w:sz w:val="20"/>
          <w:szCs w:val="20"/>
        </w:rPr>
        <w:t>partners with Sedgwick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425DA2">
        <w:rPr>
          <w:rFonts w:cstheme="minorHAnsi"/>
          <w:b w:val="0"/>
          <w:bCs/>
          <w:sz w:val="20"/>
          <w:szCs w:val="20"/>
        </w:rPr>
        <w:t>because they help employers maximize their premium savings. Sedgwick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425DA2">
        <w:rPr>
          <w:rFonts w:cstheme="minorHAnsi"/>
          <w:b w:val="0"/>
          <w:bCs/>
          <w:sz w:val="20"/>
          <w:szCs w:val="20"/>
        </w:rPr>
        <w:t>analyzes each employer’s unique claim and premium history to find the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425DA2">
        <w:rPr>
          <w:rFonts w:cstheme="minorHAnsi"/>
          <w:b w:val="0"/>
          <w:bCs/>
          <w:sz w:val="20"/>
          <w:szCs w:val="20"/>
        </w:rPr>
        <w:t>highest level of savings in all available workers’ compensation programs.</w:t>
      </w:r>
    </w:p>
    <w:p w14:paraId="5798C4E3" w14:textId="37A4CE96" w:rsidR="005B02BB" w:rsidRPr="005B02BB" w:rsidRDefault="005B02BB" w:rsidP="00FB0758">
      <w:pPr>
        <w:pStyle w:val="H2"/>
        <w:ind w:right="270"/>
        <w:rPr>
          <w:rFonts w:cstheme="minorHAnsi"/>
          <w:b w:val="0"/>
          <w:bCs/>
          <w:sz w:val="20"/>
          <w:szCs w:val="20"/>
        </w:rPr>
      </w:pPr>
      <w:r w:rsidRPr="005B02BB">
        <w:rPr>
          <w:rFonts w:cstheme="minorHAnsi"/>
          <w:b w:val="0"/>
          <w:bCs/>
          <w:color w:val="018FC8"/>
          <w:sz w:val="20"/>
          <w:szCs w:val="20"/>
        </w:rPr>
        <w:t>Why Sedgwick</w:t>
      </w:r>
      <w:r>
        <w:rPr>
          <w:rFonts w:cstheme="minorHAnsi"/>
          <w:b w:val="0"/>
          <w:bCs/>
          <w:sz w:val="20"/>
          <w:szCs w:val="20"/>
        </w:rPr>
        <w:br/>
      </w:r>
      <w:r w:rsidRPr="005B02BB">
        <w:rPr>
          <w:rFonts w:cstheme="minorHAnsi"/>
          <w:sz w:val="20"/>
          <w:szCs w:val="20"/>
        </w:rPr>
        <w:t>Partner in controlling costs</w:t>
      </w:r>
      <w:r>
        <w:rPr>
          <w:rFonts w:cstheme="minorHAnsi"/>
          <w:b w:val="0"/>
          <w:bCs/>
          <w:sz w:val="20"/>
          <w:szCs w:val="20"/>
        </w:rPr>
        <w:br/>
      </w:r>
      <w:r w:rsidRPr="005B02BB">
        <w:rPr>
          <w:rFonts w:cstheme="minorHAnsi"/>
          <w:b w:val="0"/>
          <w:bCs/>
          <w:sz w:val="20"/>
          <w:szCs w:val="20"/>
        </w:rPr>
        <w:t>Sedgwick saves employers millions of dollars each year, becoming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5B02BB">
        <w:rPr>
          <w:rFonts w:cstheme="minorHAnsi"/>
          <w:b w:val="0"/>
          <w:bCs/>
          <w:sz w:val="20"/>
          <w:szCs w:val="20"/>
        </w:rPr>
        <w:t>a lasting partner and providing a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5B02BB">
        <w:rPr>
          <w:rFonts w:cstheme="minorHAnsi"/>
          <w:b w:val="0"/>
          <w:bCs/>
          <w:sz w:val="20"/>
          <w:szCs w:val="20"/>
        </w:rPr>
        <w:t>comprehensive cost management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5B02BB">
        <w:rPr>
          <w:rFonts w:cstheme="minorHAnsi"/>
          <w:b w:val="0"/>
          <w:bCs/>
          <w:sz w:val="20"/>
          <w:szCs w:val="20"/>
        </w:rPr>
        <w:t>approach.</w:t>
      </w:r>
      <w:r w:rsidR="00FB0758">
        <w:rPr>
          <w:rFonts w:cstheme="minorHAnsi"/>
          <w:b w:val="0"/>
          <w:bCs/>
          <w:sz w:val="20"/>
          <w:szCs w:val="20"/>
        </w:rPr>
        <w:t xml:space="preserve"> </w:t>
      </w:r>
      <w:r w:rsidRPr="005B02BB">
        <w:rPr>
          <w:rFonts w:cstheme="minorHAnsi"/>
          <w:b w:val="0"/>
          <w:bCs/>
          <w:sz w:val="20"/>
          <w:szCs w:val="20"/>
        </w:rPr>
        <w:t>They are committed to understanding our members’ challenges and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5B02BB">
        <w:rPr>
          <w:rFonts w:cstheme="minorHAnsi"/>
          <w:b w:val="0"/>
          <w:bCs/>
          <w:sz w:val="20"/>
          <w:szCs w:val="20"/>
        </w:rPr>
        <w:t>to delivering claims excellence and providing quality, sound decision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5B02BB">
        <w:rPr>
          <w:rFonts w:cstheme="minorHAnsi"/>
          <w:b w:val="0"/>
          <w:bCs/>
          <w:sz w:val="20"/>
          <w:szCs w:val="20"/>
        </w:rPr>
        <w:t>making and consistency.</w:t>
      </w:r>
    </w:p>
    <w:p w14:paraId="44122017" w14:textId="6991516D" w:rsidR="00894ECA" w:rsidRPr="00894ECA" w:rsidRDefault="005B02BB" w:rsidP="005B02BB">
      <w:pPr>
        <w:pStyle w:val="H2"/>
        <w:ind w:right="274"/>
        <w:rPr>
          <w:rFonts w:cstheme="minorHAnsi"/>
          <w:b w:val="0"/>
          <w:bCs/>
          <w:sz w:val="20"/>
          <w:szCs w:val="20"/>
        </w:rPr>
      </w:pPr>
      <w:r w:rsidRPr="005B02BB">
        <w:rPr>
          <w:rFonts w:cstheme="minorHAnsi"/>
          <w:b w:val="0"/>
          <w:bCs/>
          <w:sz w:val="20"/>
          <w:szCs w:val="20"/>
        </w:rPr>
        <w:t>Sedgwick helps employers determine the best rating or discount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5B02BB">
        <w:rPr>
          <w:rFonts w:cstheme="minorHAnsi"/>
          <w:b w:val="0"/>
          <w:bCs/>
          <w:sz w:val="20"/>
          <w:szCs w:val="20"/>
        </w:rPr>
        <w:t>program available, whether it’s group rating, BWC deductible,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5B02BB">
        <w:rPr>
          <w:rFonts w:cstheme="minorHAnsi"/>
          <w:b w:val="0"/>
          <w:bCs/>
          <w:sz w:val="20"/>
          <w:szCs w:val="20"/>
        </w:rPr>
        <w:t>100% EM Cap or any other BWC program available, helping you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5B02BB">
        <w:rPr>
          <w:rFonts w:cstheme="minorHAnsi"/>
          <w:b w:val="0"/>
          <w:bCs/>
          <w:sz w:val="20"/>
          <w:szCs w:val="20"/>
        </w:rPr>
        <w:t xml:space="preserve">identify, </w:t>
      </w:r>
      <w:proofErr w:type="gramStart"/>
      <w:r w:rsidRPr="005B02BB">
        <w:rPr>
          <w:rFonts w:cstheme="minorHAnsi"/>
          <w:b w:val="0"/>
          <w:bCs/>
          <w:sz w:val="20"/>
          <w:szCs w:val="20"/>
        </w:rPr>
        <w:t>evaluate</w:t>
      </w:r>
      <w:proofErr w:type="gramEnd"/>
      <w:r w:rsidRPr="005B02BB">
        <w:rPr>
          <w:rFonts w:cstheme="minorHAnsi"/>
          <w:b w:val="0"/>
          <w:bCs/>
          <w:sz w:val="20"/>
          <w:szCs w:val="20"/>
        </w:rPr>
        <w:t xml:space="preserve"> and reduce your business risks to achieve premium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5B02BB">
        <w:rPr>
          <w:rFonts w:cstheme="minorHAnsi"/>
          <w:b w:val="0"/>
          <w:bCs/>
          <w:sz w:val="20"/>
          <w:szCs w:val="20"/>
        </w:rPr>
        <w:t>discounts and refunds.</w:t>
      </w:r>
    </w:p>
    <w:p w14:paraId="7158D6B5" w14:textId="472DFC2D" w:rsidR="005B02BB" w:rsidRDefault="005B02BB" w:rsidP="005B02BB">
      <w:pPr>
        <w:pStyle w:val="H2"/>
        <w:ind w:right="270"/>
        <w:rPr>
          <w:rFonts w:cstheme="minorHAnsi"/>
          <w:b w:val="0"/>
          <w:bCs/>
          <w:sz w:val="20"/>
          <w:szCs w:val="20"/>
        </w:rPr>
      </w:pPr>
      <w:r>
        <w:rPr>
          <w:rFonts w:cstheme="minorHAnsi"/>
          <w:b w:val="0"/>
          <w:bCs/>
          <w:color w:val="018FC8"/>
          <w:sz w:val="20"/>
          <w:szCs w:val="20"/>
        </w:rPr>
        <w:t>Member programs</w:t>
      </w:r>
      <w:r>
        <w:rPr>
          <w:rFonts w:cstheme="minorHAnsi"/>
          <w:b w:val="0"/>
          <w:bCs/>
          <w:sz w:val="20"/>
          <w:szCs w:val="20"/>
        </w:rPr>
        <w:br/>
      </w:r>
      <w:r>
        <w:rPr>
          <w:rFonts w:cstheme="minorHAnsi"/>
          <w:sz w:val="20"/>
          <w:szCs w:val="20"/>
        </w:rPr>
        <w:t>Group rating</w:t>
      </w:r>
    </w:p>
    <w:p w14:paraId="4EA320BC" w14:textId="638D2930" w:rsidR="005B02BB" w:rsidRPr="005B02BB" w:rsidRDefault="005B02BB" w:rsidP="005B02BB">
      <w:pPr>
        <w:pStyle w:val="H2"/>
        <w:numPr>
          <w:ilvl w:val="0"/>
          <w:numId w:val="11"/>
        </w:numPr>
        <w:spacing w:before="0"/>
        <w:ind w:right="274"/>
        <w:rPr>
          <w:rFonts w:cstheme="minorHAnsi"/>
          <w:b w:val="0"/>
          <w:bCs/>
          <w:sz w:val="20"/>
          <w:szCs w:val="20"/>
        </w:rPr>
      </w:pPr>
      <w:r w:rsidRPr="005B02BB">
        <w:rPr>
          <w:rFonts w:cstheme="minorHAnsi"/>
          <w:b w:val="0"/>
          <w:bCs/>
          <w:sz w:val="20"/>
          <w:szCs w:val="20"/>
        </w:rPr>
        <w:t>Nearly 80,000 Ohio employers are currently participating in group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5B02BB">
        <w:rPr>
          <w:rFonts w:cstheme="minorHAnsi"/>
          <w:b w:val="0"/>
          <w:bCs/>
          <w:sz w:val="20"/>
          <w:szCs w:val="20"/>
        </w:rPr>
        <w:t>rating</w:t>
      </w:r>
    </w:p>
    <w:p w14:paraId="1AF930C1" w14:textId="4A309228" w:rsidR="005B02BB" w:rsidRPr="005B02BB" w:rsidRDefault="005B02BB" w:rsidP="005B02BB">
      <w:pPr>
        <w:pStyle w:val="H2"/>
        <w:numPr>
          <w:ilvl w:val="0"/>
          <w:numId w:val="11"/>
        </w:numPr>
        <w:spacing w:before="0"/>
        <w:ind w:right="274"/>
        <w:rPr>
          <w:rFonts w:cstheme="minorHAnsi"/>
          <w:b w:val="0"/>
          <w:bCs/>
          <w:sz w:val="20"/>
          <w:szCs w:val="20"/>
        </w:rPr>
      </w:pPr>
      <w:r w:rsidRPr="005B02BB">
        <w:rPr>
          <w:rFonts w:cstheme="minorHAnsi"/>
          <w:b w:val="0"/>
          <w:bCs/>
          <w:sz w:val="20"/>
          <w:szCs w:val="20"/>
        </w:rPr>
        <w:t xml:space="preserve">Sedgwick is the only group rating program endorsed by the </w:t>
      </w:r>
      <w:r w:rsidR="007612B4">
        <w:rPr>
          <w:rFonts w:cstheme="minorHAnsi"/>
          <w:b w:val="0"/>
          <w:bCs/>
          <w:sz w:val="20"/>
          <w:szCs w:val="20"/>
        </w:rPr>
        <w:t>Tallmadge</w:t>
      </w:r>
      <w:r w:rsidR="00313F49">
        <w:rPr>
          <w:rFonts w:cstheme="minorHAnsi"/>
          <w:b w:val="0"/>
          <w:bCs/>
          <w:sz w:val="20"/>
          <w:szCs w:val="20"/>
        </w:rPr>
        <w:t xml:space="preserve"> Chamber</w:t>
      </w:r>
    </w:p>
    <w:p w14:paraId="219FA533" w14:textId="79F213DF" w:rsidR="005B02BB" w:rsidRPr="005B02BB" w:rsidRDefault="005B02BB" w:rsidP="005B02BB">
      <w:pPr>
        <w:pStyle w:val="H2"/>
        <w:numPr>
          <w:ilvl w:val="0"/>
          <w:numId w:val="11"/>
        </w:numPr>
        <w:spacing w:before="0"/>
        <w:ind w:right="274"/>
        <w:rPr>
          <w:rFonts w:cstheme="minorHAnsi"/>
          <w:b w:val="0"/>
          <w:bCs/>
          <w:sz w:val="20"/>
          <w:szCs w:val="20"/>
        </w:rPr>
      </w:pPr>
      <w:r w:rsidRPr="005B02BB">
        <w:rPr>
          <w:rFonts w:cstheme="minorHAnsi"/>
          <w:b w:val="0"/>
          <w:bCs/>
          <w:sz w:val="20"/>
          <w:szCs w:val="20"/>
        </w:rPr>
        <w:t>On average, for every dollar spent on fees, clients saved $11.00 in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5B02BB">
        <w:rPr>
          <w:rFonts w:cstheme="minorHAnsi"/>
          <w:b w:val="0"/>
          <w:bCs/>
          <w:sz w:val="20"/>
          <w:szCs w:val="20"/>
        </w:rPr>
        <w:t>premium, a 1000% return on investment</w:t>
      </w:r>
    </w:p>
    <w:p w14:paraId="003F156A" w14:textId="2520E079" w:rsidR="005B02BB" w:rsidRDefault="005B02BB" w:rsidP="005B02BB">
      <w:pPr>
        <w:pStyle w:val="H2"/>
        <w:ind w:right="270"/>
        <w:rPr>
          <w:rFonts w:cstheme="minorHAnsi"/>
          <w:b w:val="0"/>
          <w:bCs/>
          <w:sz w:val="20"/>
          <w:szCs w:val="20"/>
        </w:rPr>
      </w:pPr>
      <w:r>
        <w:rPr>
          <w:rFonts w:cstheme="minorHAnsi"/>
          <w:sz w:val="20"/>
          <w:szCs w:val="20"/>
        </w:rPr>
        <w:t>Group retrospective rating</w:t>
      </w:r>
    </w:p>
    <w:p w14:paraId="4F818BF7" w14:textId="695A3297" w:rsidR="005B02BB" w:rsidRPr="005B02BB" w:rsidRDefault="005B02BB" w:rsidP="005B02BB">
      <w:pPr>
        <w:pStyle w:val="H2"/>
        <w:numPr>
          <w:ilvl w:val="0"/>
          <w:numId w:val="12"/>
        </w:numPr>
        <w:spacing w:before="0"/>
        <w:ind w:right="274"/>
        <w:rPr>
          <w:rFonts w:cstheme="minorHAnsi"/>
          <w:b w:val="0"/>
          <w:bCs/>
          <w:sz w:val="20"/>
          <w:szCs w:val="20"/>
        </w:rPr>
      </w:pPr>
      <w:r w:rsidRPr="005B02BB">
        <w:rPr>
          <w:rFonts w:cstheme="minorHAnsi"/>
          <w:b w:val="0"/>
          <w:bCs/>
          <w:sz w:val="20"/>
          <w:szCs w:val="20"/>
        </w:rPr>
        <w:t>Rebates are based on the results of employer’s workplace safety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5B02BB">
        <w:rPr>
          <w:rFonts w:cstheme="minorHAnsi"/>
          <w:b w:val="0"/>
          <w:bCs/>
          <w:sz w:val="20"/>
          <w:szCs w:val="20"/>
        </w:rPr>
        <w:t>and cost control efforts</w:t>
      </w:r>
    </w:p>
    <w:p w14:paraId="66BE2D9B" w14:textId="0EBF9308" w:rsidR="005B02BB" w:rsidRPr="005B02BB" w:rsidRDefault="005B02BB" w:rsidP="005B02BB">
      <w:pPr>
        <w:pStyle w:val="H2"/>
        <w:numPr>
          <w:ilvl w:val="0"/>
          <w:numId w:val="12"/>
        </w:numPr>
        <w:spacing w:before="0"/>
        <w:ind w:right="274"/>
        <w:rPr>
          <w:rFonts w:cstheme="minorHAnsi"/>
          <w:b w:val="0"/>
          <w:bCs/>
          <w:sz w:val="20"/>
          <w:szCs w:val="20"/>
        </w:rPr>
      </w:pPr>
      <w:r w:rsidRPr="005B02BB">
        <w:rPr>
          <w:rFonts w:cstheme="minorHAnsi"/>
          <w:b w:val="0"/>
          <w:bCs/>
          <w:sz w:val="20"/>
          <w:szCs w:val="20"/>
        </w:rPr>
        <w:t>Sedgwick group retrospective programs have returned $630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5B02BB">
        <w:rPr>
          <w:rFonts w:cstheme="minorHAnsi"/>
          <w:b w:val="0"/>
          <w:bCs/>
          <w:sz w:val="20"/>
          <w:szCs w:val="20"/>
        </w:rPr>
        <w:t>million in premium re</w:t>
      </w:r>
      <w:r>
        <w:rPr>
          <w:rFonts w:cstheme="minorHAnsi"/>
          <w:b w:val="0"/>
          <w:bCs/>
          <w:sz w:val="20"/>
          <w:szCs w:val="20"/>
        </w:rPr>
        <w:t>funds</w:t>
      </w:r>
    </w:p>
    <w:p w14:paraId="3DF88C86" w14:textId="50E0DB04" w:rsidR="005B02BB" w:rsidRDefault="005B02BB" w:rsidP="005B02BB">
      <w:pPr>
        <w:pStyle w:val="H2"/>
        <w:ind w:right="270"/>
        <w:rPr>
          <w:rFonts w:cstheme="minorHAnsi"/>
          <w:b w:val="0"/>
          <w:bCs/>
          <w:sz w:val="20"/>
          <w:szCs w:val="20"/>
        </w:rPr>
      </w:pPr>
      <w:r>
        <w:rPr>
          <w:rFonts w:cstheme="minorHAnsi"/>
          <w:sz w:val="20"/>
          <w:szCs w:val="20"/>
        </w:rPr>
        <w:t>Unemployment</w:t>
      </w:r>
    </w:p>
    <w:p w14:paraId="4C981473" w14:textId="613BCF5D" w:rsidR="005B02BB" w:rsidRPr="00341BF5" w:rsidRDefault="005B02BB" w:rsidP="00341BF5">
      <w:pPr>
        <w:pStyle w:val="H2"/>
        <w:numPr>
          <w:ilvl w:val="0"/>
          <w:numId w:val="13"/>
        </w:numPr>
        <w:spacing w:before="0"/>
        <w:ind w:right="274"/>
        <w:rPr>
          <w:rFonts w:cstheme="minorHAnsi"/>
          <w:b w:val="0"/>
          <w:bCs/>
          <w:sz w:val="20"/>
          <w:szCs w:val="20"/>
        </w:rPr>
      </w:pPr>
      <w:r w:rsidRPr="005B02BB">
        <w:rPr>
          <w:rFonts w:cstheme="minorHAnsi"/>
          <w:b w:val="0"/>
          <w:bCs/>
          <w:sz w:val="20"/>
          <w:szCs w:val="20"/>
        </w:rPr>
        <w:t>Sedgwick’s comprehensive unemployment compensation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5B02BB">
        <w:rPr>
          <w:rFonts w:cstheme="minorHAnsi"/>
          <w:b w:val="0"/>
          <w:bCs/>
          <w:sz w:val="20"/>
          <w:szCs w:val="20"/>
        </w:rPr>
        <w:t>program delivers unique, customized solutions to help employers</w:t>
      </w:r>
      <w:r>
        <w:rPr>
          <w:rFonts w:cstheme="minorHAnsi"/>
          <w:b w:val="0"/>
          <w:bCs/>
          <w:sz w:val="20"/>
          <w:szCs w:val="20"/>
        </w:rPr>
        <w:t xml:space="preserve"> </w:t>
      </w:r>
      <w:r w:rsidRPr="005B02BB">
        <w:rPr>
          <w:rFonts w:cstheme="minorHAnsi"/>
          <w:b w:val="0"/>
          <w:bCs/>
          <w:sz w:val="20"/>
          <w:szCs w:val="20"/>
        </w:rPr>
        <w:t>reduce and control their unemployment taxes</w:t>
      </w:r>
    </w:p>
    <w:p w14:paraId="6D64086F" w14:textId="3A0FC65C" w:rsidR="00341BF5" w:rsidRDefault="00341BF5" w:rsidP="00341BF5">
      <w:pPr>
        <w:pStyle w:val="H2"/>
        <w:ind w:right="274"/>
        <w:rPr>
          <w:rFonts w:cstheme="minorHAnsi"/>
          <w:b w:val="0"/>
          <w:bCs/>
          <w:sz w:val="20"/>
          <w:szCs w:val="20"/>
        </w:rPr>
      </w:pPr>
      <w:r>
        <w:rPr>
          <w:rFonts w:cstheme="minorHAnsi"/>
          <w:b w:val="0"/>
          <w:bCs/>
          <w:color w:val="018FC8"/>
          <w:sz w:val="20"/>
          <w:szCs w:val="20"/>
        </w:rPr>
        <w:t>Start saving now</w:t>
      </w:r>
      <w:r>
        <w:rPr>
          <w:rFonts w:cstheme="minorHAnsi"/>
          <w:b w:val="0"/>
          <w:bCs/>
          <w:sz w:val="20"/>
          <w:szCs w:val="20"/>
        </w:rPr>
        <w:br/>
        <w:t xml:space="preserve">For a no-cost, no-obligation analysis of your potential savings, please complete our online “Temporary Authorization to Review Information Form” at </w:t>
      </w:r>
      <w:hyperlink r:id="rId8" w:history="1">
        <w:r w:rsidR="008C7653" w:rsidRPr="006428E5">
          <w:rPr>
            <w:rStyle w:val="Hyperlink"/>
            <w:rFonts w:cstheme="minorHAnsi"/>
            <w:b w:val="0"/>
            <w:bCs/>
            <w:sz w:val="20"/>
            <w:szCs w:val="20"/>
          </w:rPr>
          <w:t>www.sedg</w:t>
        </w:r>
        <w:r w:rsidR="008C7653" w:rsidRPr="006428E5">
          <w:rPr>
            <w:rStyle w:val="Hyperlink"/>
            <w:rFonts w:cstheme="minorHAnsi"/>
            <w:b w:val="0"/>
            <w:bCs/>
            <w:sz w:val="20"/>
            <w:szCs w:val="20"/>
          </w:rPr>
          <w:t>w</w:t>
        </w:r>
        <w:r w:rsidR="008C7653" w:rsidRPr="006428E5">
          <w:rPr>
            <w:rStyle w:val="Hyperlink"/>
            <w:rFonts w:cstheme="minorHAnsi"/>
            <w:b w:val="0"/>
            <w:bCs/>
            <w:sz w:val="20"/>
            <w:szCs w:val="20"/>
          </w:rPr>
          <w:t>ic</w:t>
        </w:r>
        <w:r w:rsidR="008C7653" w:rsidRPr="006428E5">
          <w:rPr>
            <w:rStyle w:val="Hyperlink"/>
            <w:rFonts w:cstheme="minorHAnsi"/>
            <w:b w:val="0"/>
            <w:bCs/>
            <w:sz w:val="20"/>
            <w:szCs w:val="20"/>
          </w:rPr>
          <w:t>k</w:t>
        </w:r>
        <w:r w:rsidR="008C7653" w:rsidRPr="006428E5">
          <w:rPr>
            <w:rStyle w:val="Hyperlink"/>
            <w:rFonts w:cstheme="minorHAnsi"/>
            <w:b w:val="0"/>
            <w:bCs/>
            <w:sz w:val="20"/>
            <w:szCs w:val="20"/>
          </w:rPr>
          <w:t>.com/ac3/tallmadge</w:t>
        </w:r>
      </w:hyperlink>
      <w:r w:rsidR="008C7653">
        <w:rPr>
          <w:rStyle w:val="Hyperlink"/>
          <w:rFonts w:cstheme="minorHAnsi"/>
          <w:b w:val="0"/>
          <w:bCs/>
          <w:sz w:val="20"/>
          <w:szCs w:val="20"/>
        </w:rPr>
        <w:t xml:space="preserve"> </w:t>
      </w:r>
      <w:r w:rsidR="00614C88">
        <w:rPr>
          <w:rStyle w:val="Hyperlink"/>
          <w:rFonts w:cstheme="minorHAnsi"/>
          <w:b w:val="0"/>
          <w:bCs/>
          <w:sz w:val="20"/>
          <w:szCs w:val="20"/>
        </w:rPr>
        <w:t xml:space="preserve"> </w:t>
      </w:r>
      <w:r w:rsidR="00F62153">
        <w:rPr>
          <w:rFonts w:cstheme="minorHAnsi"/>
          <w:b w:val="0"/>
          <w:bCs/>
          <w:sz w:val="20"/>
          <w:szCs w:val="20"/>
        </w:rPr>
        <w:t xml:space="preserve"> </w:t>
      </w:r>
      <w:r w:rsidR="00FA1B9D">
        <w:rPr>
          <w:rStyle w:val="Hyperlink"/>
          <w:rFonts w:cstheme="minorHAnsi"/>
          <w:b w:val="0"/>
          <w:bCs/>
          <w:sz w:val="20"/>
          <w:szCs w:val="20"/>
        </w:rPr>
        <w:t xml:space="preserve"> </w:t>
      </w:r>
      <w:r w:rsidR="00D54573">
        <w:rPr>
          <w:rStyle w:val="Hyperlink"/>
          <w:rFonts w:cstheme="minorHAnsi"/>
          <w:b w:val="0"/>
          <w:bCs/>
          <w:sz w:val="20"/>
          <w:szCs w:val="20"/>
        </w:rPr>
        <w:t xml:space="preserve"> </w:t>
      </w:r>
      <w:r w:rsidR="00DF723D">
        <w:rPr>
          <w:rFonts w:cstheme="minorHAnsi"/>
          <w:b w:val="0"/>
          <w:bCs/>
          <w:sz w:val="20"/>
          <w:szCs w:val="20"/>
        </w:rPr>
        <w:t xml:space="preserve"> </w:t>
      </w:r>
      <w:r w:rsidR="00944544">
        <w:rPr>
          <w:rFonts w:cstheme="minorHAnsi"/>
          <w:b w:val="0"/>
          <w:bCs/>
          <w:sz w:val="20"/>
          <w:szCs w:val="20"/>
        </w:rPr>
        <w:t xml:space="preserve"> </w:t>
      </w:r>
      <w:r w:rsidR="00662F37">
        <w:rPr>
          <w:rFonts w:cstheme="minorHAnsi"/>
          <w:b w:val="0"/>
          <w:bCs/>
          <w:sz w:val="20"/>
          <w:szCs w:val="20"/>
        </w:rPr>
        <w:t xml:space="preserve"> </w:t>
      </w:r>
      <w:r w:rsidR="009D1A84">
        <w:rPr>
          <w:rStyle w:val="Hyperlink"/>
          <w:rFonts w:cstheme="minorHAnsi"/>
          <w:b w:val="0"/>
          <w:bCs/>
          <w:sz w:val="20"/>
          <w:szCs w:val="20"/>
        </w:rPr>
        <w:t xml:space="preserve"> </w:t>
      </w:r>
      <w:r w:rsidR="005C1222">
        <w:rPr>
          <w:rFonts w:cstheme="minorHAnsi"/>
          <w:b w:val="0"/>
          <w:bCs/>
          <w:sz w:val="20"/>
          <w:szCs w:val="20"/>
        </w:rPr>
        <w:t xml:space="preserve"> </w:t>
      </w:r>
      <w:r w:rsidR="007809E5">
        <w:rPr>
          <w:rFonts w:cstheme="minorHAnsi"/>
          <w:b w:val="0"/>
          <w:bCs/>
          <w:sz w:val="20"/>
          <w:szCs w:val="20"/>
        </w:rPr>
        <w:t xml:space="preserve"> </w:t>
      </w:r>
      <w:r w:rsidR="009D5965">
        <w:rPr>
          <w:rStyle w:val="Hyperlink"/>
          <w:rFonts w:cstheme="minorHAnsi"/>
          <w:b w:val="0"/>
          <w:bCs/>
          <w:sz w:val="20"/>
          <w:szCs w:val="20"/>
        </w:rPr>
        <w:t xml:space="preserve"> </w:t>
      </w:r>
      <w:r w:rsidR="0024077C">
        <w:rPr>
          <w:rFonts w:cstheme="minorHAnsi"/>
          <w:b w:val="0"/>
          <w:bCs/>
          <w:sz w:val="20"/>
          <w:szCs w:val="20"/>
        </w:rPr>
        <w:t xml:space="preserve"> </w:t>
      </w:r>
    </w:p>
    <w:p w14:paraId="7A950C1E" w14:textId="7766FF5C" w:rsidR="002C37B6" w:rsidRDefault="00FB0758" w:rsidP="00341BF5">
      <w:pPr>
        <w:pStyle w:val="H2"/>
        <w:ind w:right="274"/>
        <w:rPr>
          <w:rFonts w:cstheme="minorHAnsi"/>
          <w:b w:val="0"/>
          <w:bCs/>
          <w:sz w:val="20"/>
          <w:szCs w:val="20"/>
        </w:rPr>
      </w:pPr>
      <w:r>
        <w:rPr>
          <w:rFonts w:cstheme="minorHAnsi"/>
          <w:b w:val="0"/>
          <w:bCs/>
          <w:color w:val="018FC8"/>
          <w:sz w:val="20"/>
          <w:szCs w:val="20"/>
        </w:rPr>
        <w:t xml:space="preserve">Additional </w:t>
      </w:r>
      <w:r w:rsidR="00F44CEB">
        <w:rPr>
          <w:rFonts w:cstheme="minorHAnsi"/>
          <w:b w:val="0"/>
          <w:bCs/>
          <w:color w:val="018FC8"/>
          <w:sz w:val="20"/>
          <w:szCs w:val="20"/>
        </w:rPr>
        <w:t xml:space="preserve">workers’ compensation and </w:t>
      </w:r>
      <w:r w:rsidR="00DD6997">
        <w:rPr>
          <w:rFonts w:cstheme="minorHAnsi"/>
          <w:b w:val="0"/>
          <w:bCs/>
          <w:color w:val="018FC8"/>
          <w:sz w:val="20"/>
          <w:szCs w:val="20"/>
        </w:rPr>
        <w:t xml:space="preserve">workplace </w:t>
      </w:r>
      <w:r w:rsidR="00F44CEB">
        <w:rPr>
          <w:rFonts w:cstheme="minorHAnsi"/>
          <w:b w:val="0"/>
          <w:bCs/>
          <w:color w:val="018FC8"/>
          <w:sz w:val="20"/>
          <w:szCs w:val="20"/>
        </w:rPr>
        <w:t xml:space="preserve">safety </w:t>
      </w:r>
      <w:r>
        <w:rPr>
          <w:rFonts w:cstheme="minorHAnsi"/>
          <w:b w:val="0"/>
          <w:bCs/>
          <w:color w:val="018FC8"/>
          <w:sz w:val="20"/>
          <w:szCs w:val="20"/>
        </w:rPr>
        <w:t>resources</w:t>
      </w:r>
      <w:r>
        <w:rPr>
          <w:rFonts w:cstheme="minorHAnsi"/>
          <w:b w:val="0"/>
          <w:bCs/>
          <w:sz w:val="20"/>
          <w:szCs w:val="20"/>
        </w:rPr>
        <w:br/>
        <w:t xml:space="preserve">Sedgwick website: </w:t>
      </w:r>
      <w:hyperlink r:id="rId9" w:history="1">
        <w:r w:rsidR="0024077C" w:rsidRPr="002E6217">
          <w:rPr>
            <w:rStyle w:val="Hyperlink"/>
            <w:rFonts w:cstheme="minorHAnsi"/>
            <w:b w:val="0"/>
            <w:bCs/>
            <w:sz w:val="20"/>
            <w:szCs w:val="20"/>
          </w:rPr>
          <w:t>www.sedgwick.com/ohiotpa</w:t>
        </w:r>
      </w:hyperlink>
      <w:r>
        <w:rPr>
          <w:rFonts w:cstheme="minorHAnsi"/>
          <w:b w:val="0"/>
          <w:bCs/>
          <w:sz w:val="20"/>
          <w:szCs w:val="20"/>
        </w:rPr>
        <w:br/>
        <w:t xml:space="preserve">Sedgwick safety resource link: </w:t>
      </w:r>
      <w:hyperlink r:id="rId10" w:history="1">
        <w:r w:rsidRPr="002D4304">
          <w:rPr>
            <w:rStyle w:val="Hyperlink"/>
            <w:rFonts w:cstheme="minorHAnsi"/>
            <w:b w:val="0"/>
            <w:bCs/>
            <w:sz w:val="20"/>
            <w:szCs w:val="20"/>
          </w:rPr>
          <w:t>www.sedgwick.com/ohiotpa/resources</w:t>
        </w:r>
      </w:hyperlink>
      <w:r>
        <w:rPr>
          <w:rFonts w:cstheme="minorHAnsi"/>
          <w:b w:val="0"/>
          <w:bCs/>
          <w:sz w:val="20"/>
          <w:szCs w:val="20"/>
        </w:rPr>
        <w:br/>
        <w:t xml:space="preserve">BWC Division of Safety &amp; Hygiene: </w:t>
      </w:r>
      <w:hyperlink r:id="rId11" w:history="1">
        <w:r w:rsidRPr="002D4304">
          <w:rPr>
            <w:rStyle w:val="Hyperlink"/>
            <w:rFonts w:cstheme="minorHAnsi"/>
            <w:b w:val="0"/>
            <w:bCs/>
            <w:sz w:val="20"/>
            <w:szCs w:val="20"/>
          </w:rPr>
          <w:t>https://info.bwc.ohio.gov/for-employers/safety-and-training/</w:t>
        </w:r>
      </w:hyperlink>
      <w:r w:rsidR="002C37B6">
        <w:rPr>
          <w:rFonts w:cstheme="minorHAnsi"/>
          <w:b w:val="0"/>
          <w:bCs/>
          <w:color w:val="0000FF"/>
          <w:sz w:val="20"/>
          <w:szCs w:val="20"/>
          <w:u w:val="single"/>
        </w:rPr>
        <w:br/>
      </w:r>
      <w:r w:rsidR="002C37B6">
        <w:rPr>
          <w:rFonts w:cstheme="minorHAnsi"/>
          <w:b w:val="0"/>
          <w:bCs/>
          <w:sz w:val="20"/>
          <w:szCs w:val="20"/>
        </w:rPr>
        <w:t xml:space="preserve">Group Rating Safety Accountability Letter: </w:t>
      </w:r>
      <w:hyperlink r:id="rId12" w:history="1">
        <w:r w:rsidR="002C37B6" w:rsidRPr="00FE45FF">
          <w:rPr>
            <w:rStyle w:val="Hyperlink"/>
            <w:rFonts w:cstheme="minorHAnsi"/>
            <w:b w:val="0"/>
            <w:bCs/>
            <w:sz w:val="20"/>
            <w:szCs w:val="20"/>
          </w:rPr>
          <w:t>https://marketing.sedgwick.com/acton/attachment/4952/f-00c5b2bd-724c-41da-9cca-c93475bdded3/1/-/-/-/-/GroupRatingSafetyAccountabilityLtr.pdf</w:t>
        </w:r>
      </w:hyperlink>
    </w:p>
    <w:p w14:paraId="5375611A" w14:textId="50EA5959" w:rsidR="00FB0758" w:rsidRPr="005B02BB" w:rsidRDefault="002C37B6" w:rsidP="00341BF5">
      <w:pPr>
        <w:pStyle w:val="H2"/>
        <w:ind w:right="274"/>
        <w:rPr>
          <w:rFonts w:cstheme="minorHAnsi"/>
          <w:b w:val="0"/>
          <w:bCs/>
          <w:sz w:val="20"/>
          <w:szCs w:val="20"/>
        </w:rPr>
      </w:pPr>
      <w:r>
        <w:rPr>
          <w:rFonts w:cstheme="minorHAnsi"/>
          <w:b w:val="0"/>
          <w:bCs/>
          <w:sz w:val="20"/>
          <w:szCs w:val="20"/>
        </w:rPr>
        <w:t>T</w:t>
      </w:r>
      <w:r w:rsidR="00FB0758">
        <w:rPr>
          <w:rFonts w:cstheme="minorHAnsi"/>
          <w:b w:val="0"/>
          <w:bCs/>
          <w:sz w:val="20"/>
          <w:szCs w:val="20"/>
        </w:rPr>
        <w:t xml:space="preserve">o learn more about </w:t>
      </w:r>
      <w:r w:rsidR="007612B4">
        <w:rPr>
          <w:rFonts w:cstheme="minorHAnsi"/>
          <w:b w:val="0"/>
          <w:bCs/>
          <w:sz w:val="20"/>
          <w:szCs w:val="20"/>
        </w:rPr>
        <w:t>Tallmadge</w:t>
      </w:r>
      <w:r w:rsidR="00283795">
        <w:rPr>
          <w:rFonts w:cstheme="minorHAnsi"/>
          <w:b w:val="0"/>
          <w:bCs/>
          <w:sz w:val="20"/>
          <w:szCs w:val="20"/>
        </w:rPr>
        <w:t xml:space="preserve"> Chamber’s </w:t>
      </w:r>
      <w:r w:rsidR="00FB0758">
        <w:rPr>
          <w:rFonts w:cstheme="minorHAnsi"/>
          <w:b w:val="0"/>
          <w:bCs/>
          <w:sz w:val="20"/>
          <w:szCs w:val="20"/>
        </w:rPr>
        <w:t xml:space="preserve"> program, contact </w:t>
      </w:r>
      <w:r w:rsidR="00074D76">
        <w:rPr>
          <w:rFonts w:cstheme="minorHAnsi"/>
          <w:b w:val="0"/>
          <w:bCs/>
          <w:sz w:val="20"/>
          <w:szCs w:val="20"/>
        </w:rPr>
        <w:t>Bob Nicoll</w:t>
      </w:r>
      <w:r w:rsidR="00FB0758">
        <w:rPr>
          <w:rFonts w:cstheme="minorHAnsi"/>
          <w:b w:val="0"/>
          <w:bCs/>
          <w:sz w:val="20"/>
          <w:szCs w:val="20"/>
        </w:rPr>
        <w:t xml:space="preserve"> at </w:t>
      </w:r>
      <w:r w:rsidR="00074D76">
        <w:rPr>
          <w:rFonts w:cstheme="minorHAnsi"/>
          <w:b w:val="0"/>
          <w:bCs/>
          <w:sz w:val="20"/>
          <w:szCs w:val="20"/>
        </w:rPr>
        <w:t>(330) 41</w:t>
      </w:r>
      <w:r w:rsidR="001551E5">
        <w:rPr>
          <w:rFonts w:cstheme="minorHAnsi"/>
          <w:b w:val="0"/>
          <w:bCs/>
          <w:sz w:val="20"/>
          <w:szCs w:val="20"/>
        </w:rPr>
        <w:t>8</w:t>
      </w:r>
      <w:r w:rsidR="00074D76">
        <w:rPr>
          <w:rFonts w:cstheme="minorHAnsi"/>
          <w:b w:val="0"/>
          <w:bCs/>
          <w:sz w:val="20"/>
          <w:szCs w:val="20"/>
        </w:rPr>
        <w:t>-1824</w:t>
      </w:r>
      <w:r w:rsidR="00FB0758">
        <w:rPr>
          <w:rFonts w:cstheme="minorHAnsi"/>
          <w:b w:val="0"/>
          <w:bCs/>
          <w:sz w:val="20"/>
          <w:szCs w:val="20"/>
        </w:rPr>
        <w:t xml:space="preserve"> or </w:t>
      </w:r>
      <w:hyperlink r:id="rId13" w:history="1">
        <w:r w:rsidR="00074D76" w:rsidRPr="00ED75A9">
          <w:rPr>
            <w:rStyle w:val="Hyperlink"/>
            <w:rFonts w:cstheme="minorHAnsi"/>
            <w:b w:val="0"/>
            <w:bCs/>
            <w:sz w:val="20"/>
            <w:szCs w:val="20"/>
          </w:rPr>
          <w:t>robert.nicoll@sedgwick.com</w:t>
        </w:r>
      </w:hyperlink>
      <w:r w:rsidR="00074D76">
        <w:rPr>
          <w:rFonts w:cstheme="minorHAnsi"/>
          <w:b w:val="0"/>
          <w:bCs/>
          <w:sz w:val="20"/>
          <w:szCs w:val="20"/>
        </w:rPr>
        <w:t xml:space="preserve"> </w:t>
      </w:r>
    </w:p>
    <w:sectPr w:rsidR="00FB0758" w:rsidRPr="005B02BB" w:rsidSect="00156639">
      <w:headerReference w:type="default" r:id="rId14"/>
      <w:footerReference w:type="default" r:id="rId15"/>
      <w:headerReference w:type="first" r:id="rId16"/>
      <w:pgSz w:w="12240" w:h="15840"/>
      <w:pgMar w:top="1440" w:right="1440" w:bottom="720" w:left="1440" w:header="0" w:footer="8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DC144" w14:textId="77777777" w:rsidR="004F5066" w:rsidRDefault="004F5066">
      <w:pPr>
        <w:spacing w:after="0" w:line="240" w:lineRule="auto"/>
      </w:pPr>
      <w:r>
        <w:separator/>
      </w:r>
    </w:p>
  </w:endnote>
  <w:endnote w:type="continuationSeparator" w:id="0">
    <w:p w14:paraId="1D0371EE" w14:textId="77777777" w:rsidR="004F5066" w:rsidRDefault="004F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6A459" w14:textId="77777777" w:rsidR="00486E37" w:rsidRPr="001A015F" w:rsidRDefault="007612B4">
    <w:pPr>
      <w:spacing w:after="0" w:line="240" w:lineRule="auto"/>
      <w:rPr>
        <w:rFonts w:asciiTheme="majorHAnsi" w:hAnsiTheme="majorHAnsi" w:cstheme="majorHAnsi"/>
        <w:b/>
        <w:color w:val="7996B4"/>
        <w:sz w:val="10"/>
        <w:szCs w:val="10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E340E" w14:textId="77777777" w:rsidR="004F5066" w:rsidRDefault="004F5066">
      <w:pPr>
        <w:spacing w:after="0" w:line="240" w:lineRule="auto"/>
      </w:pPr>
      <w:r>
        <w:separator/>
      </w:r>
    </w:p>
  </w:footnote>
  <w:footnote w:type="continuationSeparator" w:id="0">
    <w:p w14:paraId="0C5612AF" w14:textId="77777777" w:rsidR="004F5066" w:rsidRDefault="004F5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75DA9" w14:textId="77777777" w:rsidR="00486E37" w:rsidRPr="001A015F" w:rsidRDefault="007612B4">
    <w:pPr>
      <w:spacing w:after="0"/>
      <w:rPr>
        <w:rFonts w:asciiTheme="majorHAnsi" w:hAnsiTheme="majorHAnsi" w:cstheme="maj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E2674" w14:textId="77777777" w:rsidR="00486E37" w:rsidRPr="001A015F" w:rsidRDefault="00C53BFA">
    <w:pPr>
      <w:spacing w:after="0"/>
      <w:rPr>
        <w:rFonts w:asciiTheme="majorHAnsi" w:hAnsiTheme="majorHAnsi" w:cstheme="majorHAnsi"/>
        <w:sz w:val="16"/>
        <w:szCs w:val="16"/>
      </w:rPr>
    </w:pPr>
    <w:r w:rsidRPr="001A015F">
      <w:rPr>
        <w:rFonts w:asciiTheme="majorHAnsi" w:hAnsiTheme="majorHAnsi" w:cstheme="majorHAnsi"/>
        <w:noProof/>
      </w:rPr>
      <w:drawing>
        <wp:anchor distT="0" distB="0" distL="0" distR="0" simplePos="0" relativeHeight="251659264" behindDoc="0" locked="0" layoutInCell="1" hidden="0" allowOverlap="1" wp14:anchorId="3DA18A0C" wp14:editId="6D2518D5">
          <wp:simplePos x="0" y="0"/>
          <wp:positionH relativeFrom="column">
            <wp:posOffset>-914400</wp:posOffset>
          </wp:positionH>
          <wp:positionV relativeFrom="paragraph">
            <wp:posOffset>-33020</wp:posOffset>
          </wp:positionV>
          <wp:extent cx="7767320" cy="761365"/>
          <wp:effectExtent l="0" t="0" r="0" b="0"/>
          <wp:wrapTopAndBottom distT="0" dist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320" cy="761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6C37"/>
    <w:multiLevelType w:val="hybridMultilevel"/>
    <w:tmpl w:val="A2FA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C1F13"/>
    <w:multiLevelType w:val="hybridMultilevel"/>
    <w:tmpl w:val="9334958A"/>
    <w:lvl w:ilvl="0" w:tplc="69A41802">
      <w:numFmt w:val="bullet"/>
      <w:lvlText w:val="•"/>
      <w:lvlJc w:val="left"/>
      <w:pPr>
        <w:ind w:left="1080" w:hanging="720"/>
      </w:pPr>
      <w:rPr>
        <w:rFonts w:ascii="Calibri" w:eastAsia="Source Sans Pr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35570"/>
    <w:multiLevelType w:val="hybridMultilevel"/>
    <w:tmpl w:val="D850F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F2FE5"/>
    <w:multiLevelType w:val="hybridMultilevel"/>
    <w:tmpl w:val="483A3B46"/>
    <w:lvl w:ilvl="0" w:tplc="70D28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18FC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E5975"/>
    <w:multiLevelType w:val="hybridMultilevel"/>
    <w:tmpl w:val="6A9ED0C2"/>
    <w:lvl w:ilvl="0" w:tplc="69A41802">
      <w:numFmt w:val="bullet"/>
      <w:lvlText w:val="•"/>
      <w:lvlJc w:val="left"/>
      <w:pPr>
        <w:ind w:left="1080" w:hanging="720"/>
      </w:pPr>
      <w:rPr>
        <w:rFonts w:ascii="Calibri" w:eastAsia="Source Sans Pr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54516"/>
    <w:multiLevelType w:val="hybridMultilevel"/>
    <w:tmpl w:val="973EA7E2"/>
    <w:lvl w:ilvl="0" w:tplc="70D28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18FC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33816"/>
    <w:multiLevelType w:val="hybridMultilevel"/>
    <w:tmpl w:val="CAD26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C7046"/>
    <w:multiLevelType w:val="hybridMultilevel"/>
    <w:tmpl w:val="EFF40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A502E"/>
    <w:multiLevelType w:val="hybridMultilevel"/>
    <w:tmpl w:val="6032F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52A53"/>
    <w:multiLevelType w:val="hybridMultilevel"/>
    <w:tmpl w:val="518CC15C"/>
    <w:lvl w:ilvl="0" w:tplc="69A41802">
      <w:numFmt w:val="bullet"/>
      <w:lvlText w:val="•"/>
      <w:lvlJc w:val="left"/>
      <w:pPr>
        <w:ind w:left="1080" w:hanging="720"/>
      </w:pPr>
      <w:rPr>
        <w:rFonts w:ascii="Calibri" w:eastAsia="Source Sans Pro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731B8"/>
    <w:multiLevelType w:val="hybridMultilevel"/>
    <w:tmpl w:val="3BAECC32"/>
    <w:lvl w:ilvl="0" w:tplc="70D28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18FC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FD3220"/>
    <w:multiLevelType w:val="hybridMultilevel"/>
    <w:tmpl w:val="82183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0298D"/>
    <w:multiLevelType w:val="hybridMultilevel"/>
    <w:tmpl w:val="63E0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11"/>
  </w:num>
  <w:num w:numId="6">
    <w:abstractNumId w:val="9"/>
  </w:num>
  <w:num w:numId="7">
    <w:abstractNumId w:val="1"/>
  </w:num>
  <w:num w:numId="8">
    <w:abstractNumId w:val="8"/>
  </w:num>
  <w:num w:numId="9">
    <w:abstractNumId w:val="4"/>
  </w:num>
  <w:num w:numId="10">
    <w:abstractNumId w:val="12"/>
  </w:num>
  <w:num w:numId="11">
    <w:abstractNumId w:val="5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FA"/>
    <w:rsid w:val="00001DE4"/>
    <w:rsid w:val="0000506B"/>
    <w:rsid w:val="00007B49"/>
    <w:rsid w:val="000218D8"/>
    <w:rsid w:val="00034124"/>
    <w:rsid w:val="00050BDA"/>
    <w:rsid w:val="00057A9C"/>
    <w:rsid w:val="00074D76"/>
    <w:rsid w:val="00080BCA"/>
    <w:rsid w:val="0008198D"/>
    <w:rsid w:val="0009751D"/>
    <w:rsid w:val="000A5DF7"/>
    <w:rsid w:val="000D25EF"/>
    <w:rsid w:val="000E283C"/>
    <w:rsid w:val="000E2A4C"/>
    <w:rsid w:val="001551E5"/>
    <w:rsid w:val="00156639"/>
    <w:rsid w:val="00182B25"/>
    <w:rsid w:val="00183EC0"/>
    <w:rsid w:val="00195499"/>
    <w:rsid w:val="001F7E23"/>
    <w:rsid w:val="0021444E"/>
    <w:rsid w:val="00217F2A"/>
    <w:rsid w:val="0024077C"/>
    <w:rsid w:val="00265616"/>
    <w:rsid w:val="00283795"/>
    <w:rsid w:val="00293250"/>
    <w:rsid w:val="002C37B6"/>
    <w:rsid w:val="002D747D"/>
    <w:rsid w:val="002F527B"/>
    <w:rsid w:val="00301C6E"/>
    <w:rsid w:val="00313F49"/>
    <w:rsid w:val="00322195"/>
    <w:rsid w:val="00341BF5"/>
    <w:rsid w:val="00342AF9"/>
    <w:rsid w:val="003540D8"/>
    <w:rsid w:val="00370B25"/>
    <w:rsid w:val="00371EF8"/>
    <w:rsid w:val="00395AC7"/>
    <w:rsid w:val="003D38F3"/>
    <w:rsid w:val="003D51B6"/>
    <w:rsid w:val="003F021C"/>
    <w:rsid w:val="00416A44"/>
    <w:rsid w:val="00425DA2"/>
    <w:rsid w:val="00432F10"/>
    <w:rsid w:val="0044657E"/>
    <w:rsid w:val="00482436"/>
    <w:rsid w:val="004A33CB"/>
    <w:rsid w:val="004A6675"/>
    <w:rsid w:val="004C76F5"/>
    <w:rsid w:val="004E58FC"/>
    <w:rsid w:val="004F5066"/>
    <w:rsid w:val="004F79A1"/>
    <w:rsid w:val="005232A8"/>
    <w:rsid w:val="005438E4"/>
    <w:rsid w:val="005774A4"/>
    <w:rsid w:val="00586866"/>
    <w:rsid w:val="005A375D"/>
    <w:rsid w:val="005B02BB"/>
    <w:rsid w:val="005C1222"/>
    <w:rsid w:val="005C55C5"/>
    <w:rsid w:val="0061422A"/>
    <w:rsid w:val="00614C88"/>
    <w:rsid w:val="00621251"/>
    <w:rsid w:val="00650C5D"/>
    <w:rsid w:val="006517F9"/>
    <w:rsid w:val="00662F37"/>
    <w:rsid w:val="006735BA"/>
    <w:rsid w:val="00673944"/>
    <w:rsid w:val="0068539C"/>
    <w:rsid w:val="006C410B"/>
    <w:rsid w:val="006F5FA6"/>
    <w:rsid w:val="007612B4"/>
    <w:rsid w:val="007663EB"/>
    <w:rsid w:val="007809E5"/>
    <w:rsid w:val="00792C03"/>
    <w:rsid w:val="007D2D07"/>
    <w:rsid w:val="0083215C"/>
    <w:rsid w:val="00871514"/>
    <w:rsid w:val="008763BE"/>
    <w:rsid w:val="0088033A"/>
    <w:rsid w:val="008909C4"/>
    <w:rsid w:val="00894ECA"/>
    <w:rsid w:val="008B3659"/>
    <w:rsid w:val="008C3461"/>
    <w:rsid w:val="008C7653"/>
    <w:rsid w:val="009429DF"/>
    <w:rsid w:val="00944544"/>
    <w:rsid w:val="00950285"/>
    <w:rsid w:val="009566F1"/>
    <w:rsid w:val="00964239"/>
    <w:rsid w:val="00974171"/>
    <w:rsid w:val="009A28EA"/>
    <w:rsid w:val="009D1A84"/>
    <w:rsid w:val="009D5965"/>
    <w:rsid w:val="009E20D1"/>
    <w:rsid w:val="009E6FD9"/>
    <w:rsid w:val="009F0397"/>
    <w:rsid w:val="00A36CC3"/>
    <w:rsid w:val="00AF193B"/>
    <w:rsid w:val="00B15710"/>
    <w:rsid w:val="00B54368"/>
    <w:rsid w:val="00B55FFB"/>
    <w:rsid w:val="00B72713"/>
    <w:rsid w:val="00B75FD2"/>
    <w:rsid w:val="00B76013"/>
    <w:rsid w:val="00B7732D"/>
    <w:rsid w:val="00BA7122"/>
    <w:rsid w:val="00BB4B97"/>
    <w:rsid w:val="00C15EB9"/>
    <w:rsid w:val="00C33BB0"/>
    <w:rsid w:val="00C51826"/>
    <w:rsid w:val="00C531A9"/>
    <w:rsid w:val="00C53BFA"/>
    <w:rsid w:val="00CA0DD1"/>
    <w:rsid w:val="00CB319D"/>
    <w:rsid w:val="00CB5F47"/>
    <w:rsid w:val="00CB7C06"/>
    <w:rsid w:val="00CC1F29"/>
    <w:rsid w:val="00CC3FBD"/>
    <w:rsid w:val="00CF55DD"/>
    <w:rsid w:val="00D40880"/>
    <w:rsid w:val="00D41B4B"/>
    <w:rsid w:val="00D44695"/>
    <w:rsid w:val="00D454E1"/>
    <w:rsid w:val="00D54573"/>
    <w:rsid w:val="00D90A63"/>
    <w:rsid w:val="00D93E3B"/>
    <w:rsid w:val="00DC590F"/>
    <w:rsid w:val="00DD3BA0"/>
    <w:rsid w:val="00DD6997"/>
    <w:rsid w:val="00DF723D"/>
    <w:rsid w:val="00E00D39"/>
    <w:rsid w:val="00E025BA"/>
    <w:rsid w:val="00E054F8"/>
    <w:rsid w:val="00E34FF8"/>
    <w:rsid w:val="00E619BF"/>
    <w:rsid w:val="00E675DC"/>
    <w:rsid w:val="00E67D80"/>
    <w:rsid w:val="00EA6CD2"/>
    <w:rsid w:val="00EC65CC"/>
    <w:rsid w:val="00ED1F7B"/>
    <w:rsid w:val="00EF3E72"/>
    <w:rsid w:val="00EF4FFF"/>
    <w:rsid w:val="00EF7188"/>
    <w:rsid w:val="00EF79A0"/>
    <w:rsid w:val="00F13E2A"/>
    <w:rsid w:val="00F24FAC"/>
    <w:rsid w:val="00F44CEB"/>
    <w:rsid w:val="00F45E7E"/>
    <w:rsid w:val="00F5765D"/>
    <w:rsid w:val="00F62153"/>
    <w:rsid w:val="00F63422"/>
    <w:rsid w:val="00FA1B9D"/>
    <w:rsid w:val="00FB0758"/>
    <w:rsid w:val="00FC4A52"/>
    <w:rsid w:val="00FD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3915B"/>
  <w15:chartTrackingRefBased/>
  <w15:docId w15:val="{2252DAA4-53DD-A942-B7BF-A3997529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BFF"/>
    <w:pPr>
      <w:spacing w:after="400" w:line="300" w:lineRule="auto"/>
    </w:pPr>
    <w:rPr>
      <w:rFonts w:eastAsia="Source Sans Pro" w:cs="Source Sans Pro"/>
      <w:sz w:val="20"/>
      <w:szCs w:val="20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3BFA"/>
    <w:pPr>
      <w:keepNext/>
      <w:keepLines/>
      <w:spacing w:before="400" w:after="200" w:line="240" w:lineRule="auto"/>
      <w:ind w:left="360"/>
      <w:outlineLvl w:val="3"/>
    </w:pPr>
    <w:rPr>
      <w:b/>
      <w:color w:val="292826"/>
      <w:sz w:val="24"/>
      <w:szCs w:val="24"/>
      <w:highlight w:val="whit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C53BFA"/>
    <w:rPr>
      <w:rFonts w:ascii="Source Sans Pro" w:eastAsia="Source Sans Pro" w:hAnsi="Source Sans Pro" w:cs="Source Sans Pro"/>
      <w:b/>
      <w:color w:val="292826"/>
      <w:highlight w:val="white"/>
      <w:lang w:val="en"/>
    </w:rPr>
  </w:style>
  <w:style w:type="paragraph" w:styleId="ListParagraph">
    <w:name w:val="List Paragraph"/>
    <w:basedOn w:val="Normal"/>
    <w:uiPriority w:val="34"/>
    <w:qFormat/>
    <w:rsid w:val="00C53BFA"/>
    <w:pPr>
      <w:spacing w:after="200"/>
      <w:ind w:left="720"/>
      <w:contextualSpacing/>
    </w:pPr>
    <w:rPr>
      <w:rFonts w:asciiTheme="majorHAnsi" w:hAnsiTheme="majorHAn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3BFA"/>
    <w:pPr>
      <w:keepNext/>
      <w:keepLines/>
    </w:pPr>
    <w:rPr>
      <w:rFonts w:ascii="Georgia" w:eastAsia="Georgia" w:hAnsi="Georgia" w:cs="Georgia"/>
      <w:i/>
      <w:color w:val="292826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53BFA"/>
    <w:rPr>
      <w:rFonts w:ascii="Georgia" w:eastAsia="Georgia" w:hAnsi="Georgia" w:cs="Georgia"/>
      <w:i/>
      <w:color w:val="292826"/>
      <w:sz w:val="32"/>
      <w:szCs w:val="32"/>
      <w:lang w:val="en"/>
    </w:rPr>
  </w:style>
  <w:style w:type="paragraph" w:styleId="Footer">
    <w:name w:val="footer"/>
    <w:basedOn w:val="Normal"/>
    <w:link w:val="FooterChar"/>
    <w:uiPriority w:val="99"/>
    <w:unhideWhenUsed/>
    <w:rsid w:val="00C53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BFA"/>
    <w:rPr>
      <w:rFonts w:ascii="Source Sans Pro" w:eastAsia="Source Sans Pro" w:hAnsi="Source Sans Pro" w:cs="Source Sans Pro"/>
      <w:sz w:val="20"/>
      <w:szCs w:val="20"/>
      <w:lang w:val="en"/>
    </w:rPr>
  </w:style>
  <w:style w:type="paragraph" w:customStyle="1" w:styleId="H1">
    <w:name w:val="H1"/>
    <w:qFormat/>
    <w:rsid w:val="00C53BFA"/>
    <w:pPr>
      <w:spacing w:after="200"/>
      <w:ind w:right="2966"/>
    </w:pPr>
    <w:rPr>
      <w:rFonts w:ascii="Calibri Light" w:eastAsia="Source Sans Pro Light" w:hAnsi="Calibri Light" w:cs="Calibri Light"/>
      <w:color w:val="181D21"/>
      <w:sz w:val="48"/>
      <w:szCs w:val="48"/>
      <w:lang w:val="en"/>
    </w:rPr>
  </w:style>
  <w:style w:type="paragraph" w:customStyle="1" w:styleId="H2">
    <w:name w:val="H2"/>
    <w:basedOn w:val="Normal"/>
    <w:qFormat/>
    <w:rsid w:val="008C3461"/>
    <w:pPr>
      <w:spacing w:before="200" w:after="0"/>
      <w:ind w:right="900"/>
    </w:pPr>
    <w:rPr>
      <w:rFonts w:cstheme="majorHAnsi"/>
      <w:b/>
      <w:color w:val="181D21"/>
      <w:sz w:val="24"/>
      <w:szCs w:val="24"/>
    </w:rPr>
  </w:style>
  <w:style w:type="paragraph" w:customStyle="1" w:styleId="H3">
    <w:name w:val="H3"/>
    <w:basedOn w:val="Normal"/>
    <w:qFormat/>
    <w:rsid w:val="00C53BFA"/>
    <w:pPr>
      <w:spacing w:before="200" w:after="0"/>
      <w:ind w:right="900"/>
    </w:pPr>
    <w:rPr>
      <w:rFonts w:asciiTheme="majorHAnsi" w:hAnsiTheme="majorHAnsi" w:cstheme="majorHAnsi"/>
      <w:b/>
      <w:color w:val="018FC8"/>
      <w:sz w:val="18"/>
      <w:szCs w:val="18"/>
    </w:rPr>
  </w:style>
  <w:style w:type="paragraph" w:customStyle="1" w:styleId="Pre-title">
    <w:name w:val="Pre-title"/>
    <w:basedOn w:val="Heading1"/>
    <w:qFormat/>
    <w:rsid w:val="00FD6BFF"/>
    <w:pPr>
      <w:spacing w:before="0" w:line="276" w:lineRule="auto"/>
      <w:ind w:right="900"/>
    </w:pPr>
    <w:rPr>
      <w:rFonts w:asciiTheme="minorHAnsi" w:eastAsia="Source Sans Pro" w:hAnsiTheme="minorHAnsi" w:cstheme="majorHAnsi"/>
      <w:b/>
      <w:color w:val="018FC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3B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"/>
    </w:rPr>
  </w:style>
  <w:style w:type="paragraph" w:styleId="Header">
    <w:name w:val="header"/>
    <w:basedOn w:val="Normal"/>
    <w:link w:val="HeaderChar"/>
    <w:uiPriority w:val="99"/>
    <w:unhideWhenUsed/>
    <w:rsid w:val="004C7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6F5"/>
    <w:rPr>
      <w:rFonts w:eastAsia="Source Sans Pro" w:cs="Source Sans Pro"/>
      <w:sz w:val="20"/>
      <w:szCs w:val="20"/>
      <w:lang w:val="en"/>
    </w:rPr>
  </w:style>
  <w:style w:type="paragraph" w:styleId="BodyText">
    <w:name w:val="Body Text"/>
    <w:basedOn w:val="Normal"/>
    <w:link w:val="BodyTextChar"/>
    <w:uiPriority w:val="1"/>
    <w:qFormat/>
    <w:rsid w:val="00482436"/>
    <w:pPr>
      <w:widowControl w:val="0"/>
      <w:autoSpaceDE w:val="0"/>
      <w:autoSpaceDN w:val="0"/>
      <w:spacing w:after="0" w:line="240" w:lineRule="auto"/>
    </w:pPr>
    <w:rPr>
      <w:rFonts w:ascii="Source Sans Pro" w:hAnsi="Source Sans Pro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82436"/>
    <w:rPr>
      <w:rFonts w:ascii="Source Sans Pro" w:eastAsia="Source Sans Pro" w:hAnsi="Source Sans Pro" w:cs="Source Sans Pro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75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75D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gwick.com/ac3/tallmadge" TargetMode="External"/><Relationship Id="rId13" Type="http://schemas.openxmlformats.org/officeDocument/2006/relationships/hyperlink" Target="mailto:robert.nicoll@sedgwick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arketing.sedgwick.com/acton/attachment/4952/f-00c5b2bd-724c-41da-9cca-c93475bdded3/1/-/-/-/-/GroupRatingSafetyAccountabilityLtr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.bwc.ohio.gov/for-employers/safety-and-trainin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edgwick.com/ohiotpa/resour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dgwick.com/ohiotpa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Nicoll, Robert</cp:lastModifiedBy>
  <cp:revision>88</cp:revision>
  <cp:lastPrinted>2021-06-02T18:36:00Z</cp:lastPrinted>
  <dcterms:created xsi:type="dcterms:W3CDTF">2022-02-07T14:32:00Z</dcterms:created>
  <dcterms:modified xsi:type="dcterms:W3CDTF">2022-02-18T20:26:00Z</dcterms:modified>
</cp:coreProperties>
</file>